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hAnsi="宋体"/>
          <w:b/>
          <w:sz w:val="44"/>
          <w:szCs w:val="44"/>
        </w:rPr>
      </w:pPr>
    </w:p>
    <w:p>
      <w:pPr>
        <w:jc w:val="center"/>
        <w:rPr>
          <w:rFonts w:hint="eastAsia" w:hAnsi="宋体"/>
          <w:b/>
          <w:sz w:val="44"/>
          <w:szCs w:val="44"/>
        </w:rPr>
      </w:pPr>
      <w:r>
        <w:rPr>
          <w:rFonts w:hint="eastAsia" w:hAnsi="宋体"/>
          <w:b/>
          <w:sz w:val="44"/>
          <w:szCs w:val="44"/>
        </w:rPr>
        <w:t>《旁巴尹（肩周炎）壮医点穴配合壮医药物热熨疗法治疗规范》</w:t>
      </w:r>
    </w:p>
    <w:p>
      <w:pPr>
        <w:jc w:val="center"/>
        <w:rPr>
          <w:rFonts w:hint="eastAsia" w:hAnsi="宋体"/>
          <w:b/>
          <w:sz w:val="44"/>
          <w:szCs w:val="44"/>
        </w:rPr>
      </w:pPr>
      <w:r>
        <w:rPr>
          <w:rFonts w:hint="eastAsia" w:hAnsi="宋体"/>
          <w:b/>
          <w:sz w:val="44"/>
          <w:szCs w:val="44"/>
        </w:rPr>
        <w:t>（征求意见稿）</w:t>
      </w:r>
    </w:p>
    <w:p>
      <w:pPr>
        <w:spacing w:line="560" w:lineRule="exact"/>
        <w:jc w:val="center"/>
        <w:rPr>
          <w:rFonts w:hint="eastAsia" w:ascii="方正小标宋简体" w:hAnsi="方正小标宋简体"/>
          <w:color w:val="000000"/>
          <w:sz w:val="36"/>
          <w:szCs w:val="36"/>
        </w:rPr>
      </w:pPr>
    </w:p>
    <w:p>
      <w:pPr>
        <w:spacing w:line="560" w:lineRule="exact"/>
        <w:jc w:val="center"/>
        <w:rPr>
          <w:rFonts w:hint="eastAsia" w:ascii="方正小标宋简体" w:hAnsi="方正小标宋简体"/>
          <w:color w:val="000000"/>
          <w:sz w:val="36"/>
          <w:szCs w:val="36"/>
        </w:rPr>
      </w:pPr>
    </w:p>
    <w:p>
      <w:pPr>
        <w:jc w:val="center"/>
        <w:rPr>
          <w:rFonts w:ascii="方正小标宋简体"/>
          <w:b/>
          <w:sz w:val="36"/>
          <w:szCs w:val="36"/>
        </w:rPr>
      </w:pPr>
      <w:r>
        <w:rPr>
          <w:b/>
          <w:sz w:val="32"/>
          <w:szCs w:val="32"/>
        </w:rPr>
        <w:t>编</w:t>
      </w:r>
      <w:r>
        <w:rPr>
          <w:rFonts w:hint="eastAsia"/>
          <w:b/>
          <w:sz w:val="32"/>
          <w:szCs w:val="32"/>
        </w:rPr>
        <w:t xml:space="preserve"> </w:t>
      </w:r>
      <w:r>
        <w:rPr>
          <w:b/>
          <w:sz w:val="32"/>
          <w:szCs w:val="32"/>
        </w:rPr>
        <w:t>制</w:t>
      </w:r>
      <w:r>
        <w:rPr>
          <w:rFonts w:hint="eastAsia"/>
          <w:b/>
          <w:sz w:val="32"/>
          <w:szCs w:val="32"/>
        </w:rPr>
        <w:t xml:space="preserve"> </w:t>
      </w:r>
      <w:r>
        <w:rPr>
          <w:b/>
          <w:sz w:val="32"/>
          <w:szCs w:val="32"/>
        </w:rPr>
        <w:t>说</w:t>
      </w:r>
      <w:r>
        <w:rPr>
          <w:rFonts w:hint="eastAsia"/>
          <w:b/>
          <w:sz w:val="32"/>
          <w:szCs w:val="32"/>
        </w:rPr>
        <w:t xml:space="preserve"> </w:t>
      </w:r>
      <w:r>
        <w:rPr>
          <w:b/>
          <w:sz w:val="32"/>
          <w:szCs w:val="32"/>
        </w:rPr>
        <w:t>明</w:t>
      </w:r>
    </w:p>
    <w:p>
      <w:pPr>
        <w:rPr>
          <w:rFonts w:hint="eastAsia" w:ascii="方正小标宋简体"/>
          <w:color w:val="000000"/>
          <w:sz w:val="36"/>
          <w:szCs w:val="36"/>
        </w:rPr>
      </w:pPr>
    </w:p>
    <w:p>
      <w:pPr>
        <w:rPr>
          <w:rFonts w:hint="eastAsia" w:ascii="方正小标宋简体"/>
          <w:color w:val="000000"/>
          <w:sz w:val="36"/>
          <w:szCs w:val="36"/>
        </w:rPr>
      </w:pPr>
    </w:p>
    <w:p>
      <w:pPr>
        <w:rPr>
          <w:rFonts w:hint="eastAsia" w:ascii="方正小标宋简体"/>
          <w:color w:val="000000"/>
          <w:sz w:val="36"/>
          <w:szCs w:val="36"/>
        </w:rPr>
      </w:pPr>
    </w:p>
    <w:p>
      <w:pPr>
        <w:rPr>
          <w:rFonts w:hint="eastAsia" w:ascii="方正小标宋简体"/>
          <w:color w:val="000000"/>
          <w:sz w:val="36"/>
          <w:szCs w:val="36"/>
        </w:rPr>
      </w:pPr>
    </w:p>
    <w:p>
      <w:pPr>
        <w:rPr>
          <w:rFonts w:hint="eastAsia" w:ascii="方正小标宋简体"/>
          <w:color w:val="000000"/>
          <w:sz w:val="36"/>
          <w:szCs w:val="36"/>
        </w:rPr>
      </w:pPr>
    </w:p>
    <w:p>
      <w:pPr>
        <w:rPr>
          <w:rFonts w:hint="eastAsia" w:ascii="方正小标宋简体"/>
          <w:color w:val="000000"/>
          <w:sz w:val="36"/>
          <w:szCs w:val="36"/>
        </w:rPr>
      </w:pPr>
    </w:p>
    <w:p>
      <w:pPr>
        <w:jc w:val="both"/>
        <w:rPr>
          <w:rFonts w:hint="eastAsia"/>
          <w:b/>
          <w:sz w:val="32"/>
          <w:szCs w:val="32"/>
        </w:rPr>
      </w:pPr>
    </w:p>
    <w:p>
      <w:pPr>
        <w:jc w:val="both"/>
        <w:rPr>
          <w:rFonts w:hint="eastAsia"/>
          <w:b/>
          <w:sz w:val="32"/>
          <w:szCs w:val="32"/>
        </w:rPr>
      </w:pPr>
    </w:p>
    <w:p>
      <w:pPr>
        <w:jc w:val="center"/>
        <w:rPr>
          <w:rFonts w:hint="eastAsia"/>
          <w:b/>
          <w:sz w:val="32"/>
          <w:szCs w:val="32"/>
        </w:rPr>
      </w:pPr>
    </w:p>
    <w:p>
      <w:pPr>
        <w:jc w:val="center"/>
        <w:rPr>
          <w:rFonts w:hint="eastAsia"/>
          <w:b/>
          <w:sz w:val="32"/>
          <w:szCs w:val="32"/>
        </w:rPr>
      </w:pPr>
    </w:p>
    <w:p>
      <w:pPr>
        <w:jc w:val="center"/>
        <w:rPr>
          <w:rFonts w:hint="eastAsia"/>
          <w:b/>
          <w:sz w:val="32"/>
          <w:szCs w:val="32"/>
        </w:rPr>
      </w:pPr>
    </w:p>
    <w:p>
      <w:pPr>
        <w:jc w:val="center"/>
        <w:rPr>
          <w:rFonts w:hint="eastAsia"/>
          <w:b/>
          <w:sz w:val="32"/>
          <w:szCs w:val="32"/>
        </w:rPr>
      </w:pPr>
      <w:r>
        <w:rPr>
          <w:rFonts w:hint="eastAsia"/>
          <w:b/>
          <w:sz w:val="32"/>
          <w:szCs w:val="32"/>
        </w:rPr>
        <w:t>《旁巴尹（肩周炎）壮医点穴配合壮医药物热熨疗法治疗规范》</w:t>
      </w:r>
    </w:p>
    <w:p>
      <w:pPr>
        <w:jc w:val="center"/>
        <w:rPr>
          <w:rFonts w:hint="eastAsia"/>
          <w:b/>
          <w:sz w:val="32"/>
          <w:szCs w:val="32"/>
        </w:rPr>
      </w:pPr>
      <w:r>
        <w:rPr>
          <w:rFonts w:hint="eastAsia"/>
          <w:b/>
          <w:sz w:val="32"/>
          <w:szCs w:val="32"/>
        </w:rPr>
        <w:t>地方标准编制组</w:t>
      </w:r>
    </w:p>
    <w:p>
      <w:pPr>
        <w:jc w:val="center"/>
        <w:rPr>
          <w:rFonts w:hint="eastAsia"/>
          <w:b/>
          <w:sz w:val="32"/>
          <w:szCs w:val="32"/>
        </w:rPr>
      </w:pPr>
      <w:r>
        <w:rPr>
          <w:rFonts w:hint="eastAsia"/>
          <w:b/>
          <w:sz w:val="32"/>
          <w:szCs w:val="32"/>
        </w:rPr>
        <w:t>二</w:t>
      </w:r>
      <w:r>
        <w:rPr>
          <w:rFonts w:hint="eastAsia" w:hAnsi="宋体"/>
          <w:b/>
          <w:sz w:val="32"/>
          <w:szCs w:val="32"/>
          <w:lang w:eastAsia="zh-CN"/>
        </w:rPr>
        <w:t>〇</w:t>
      </w:r>
      <w:r>
        <w:rPr>
          <w:rFonts w:hint="eastAsia"/>
          <w:b/>
          <w:sz w:val="32"/>
          <w:szCs w:val="32"/>
        </w:rPr>
        <w:t>一九年五月</w:t>
      </w:r>
    </w:p>
    <w:p/>
    <w:p>
      <w:pPr>
        <w:spacing w:line="440" w:lineRule="exact"/>
        <w:rPr>
          <w:rFonts w:ascii="Times New Roman" w:hAnsi="宋体" w:eastAsia="宋体" w:cs="Times New Roman"/>
          <w:b/>
          <w:sz w:val="24"/>
        </w:rPr>
      </w:pPr>
      <w:r>
        <w:rPr>
          <w:rFonts w:hint="eastAsia" w:ascii="Times New Roman" w:hAnsi="宋体" w:eastAsia="宋体" w:cs="Times New Roman"/>
          <w:b/>
          <w:sz w:val="24"/>
        </w:rPr>
        <w:t>一、工作简况</w:t>
      </w:r>
    </w:p>
    <w:p>
      <w:pPr>
        <w:spacing w:line="440" w:lineRule="exact"/>
        <w:ind w:firstLine="480" w:firstLineChars="200"/>
        <w:rPr>
          <w:rFonts w:hint="eastAsia" w:ascii="Times New Roman" w:hAnsi="宋体" w:eastAsia="宋体" w:cs="Times New Roman"/>
          <w:sz w:val="24"/>
        </w:rPr>
      </w:pPr>
      <w:r>
        <w:rPr>
          <w:rFonts w:hint="eastAsia" w:ascii="Times New Roman" w:hAnsi="宋体" w:eastAsia="宋体" w:cs="Times New Roman"/>
          <w:sz w:val="24"/>
        </w:rPr>
        <w:t>（一）任务来源与项目编号</w:t>
      </w:r>
    </w:p>
    <w:p>
      <w:pPr>
        <w:spacing w:line="440" w:lineRule="exact"/>
        <w:ind w:firstLine="480" w:firstLineChars="200"/>
        <w:rPr>
          <w:rFonts w:hint="eastAsia" w:ascii="Times New Roman" w:hAnsi="宋体" w:eastAsia="宋体" w:cs="Times New Roman"/>
          <w:sz w:val="24"/>
        </w:rPr>
      </w:pPr>
      <w:r>
        <w:rPr>
          <w:rFonts w:ascii="Times New Roman" w:hAnsi="宋体" w:eastAsia="宋体" w:cs="Times New Roman"/>
          <w:sz w:val="24"/>
        </w:rPr>
        <w:t>为建立肩周炎壮医点穴治疗规范的技术规范和开展疗效评价研究，并进行临床示范推广应用，结合目前治疗指南中未涉及壮医技法内容的情况，有必要制定肩周炎壮医点穴治疗规范操作规范的地方标准。</w:t>
      </w:r>
    </w:p>
    <w:p>
      <w:pPr>
        <w:spacing w:line="440" w:lineRule="exact"/>
        <w:ind w:firstLine="480" w:firstLineChars="200"/>
        <w:rPr>
          <w:rFonts w:ascii="Times New Roman" w:hAnsi="宋体" w:eastAsia="宋体" w:cs="Times New Roman"/>
          <w:sz w:val="24"/>
        </w:rPr>
      </w:pPr>
      <w:r>
        <w:rPr>
          <w:rFonts w:ascii="Times New Roman" w:hAnsi="宋体" w:eastAsia="宋体" w:cs="Times New Roman"/>
          <w:sz w:val="24"/>
        </w:rPr>
        <w:t>本标准是根据《广西壮族自治区市场监督管理局关于下达2018年第二批广西地方标准制定项目计划的通知》的要求，由自治区卫生与计划生育委员会推荐、广西中医药大学、贵港市人民医院联合起草的《旁巴尹（肩周炎）壮医点穴配合壮医药物热熨疗法治疗规范》（编号：2018-0283）已列入2018年第二批广西地方标准制定项目计划。</w:t>
      </w:r>
    </w:p>
    <w:p>
      <w:pPr>
        <w:spacing w:before="156" w:beforeLines="50" w:after="156" w:afterLines="50" w:line="360" w:lineRule="auto"/>
        <w:ind w:firstLine="480" w:firstLineChars="200"/>
        <w:outlineLvl w:val="1"/>
        <w:rPr>
          <w:rFonts w:ascii="仿宋_GB2312" w:hAnsi="仿宋_GB2312" w:cs="宋体"/>
          <w:sz w:val="24"/>
        </w:rPr>
      </w:pPr>
      <w:r>
        <w:rPr>
          <w:rFonts w:hint="eastAsia" w:ascii="Times New Roman" w:hAnsi="宋体" w:eastAsia="宋体" w:cs="Times New Roman"/>
          <w:sz w:val="24"/>
        </w:rPr>
        <w:t>本标准得到2014年由广西壮族自治区科学技术厅下达的广西科学研究与技术开发计划项目“壮医湿毒病特色疗法技术规范化研究与示范”（桂科攻14124003-10）资金支持。</w:t>
      </w:r>
    </w:p>
    <w:p>
      <w:pPr>
        <w:spacing w:before="156" w:beforeLines="50" w:after="156" w:afterLines="50" w:line="360" w:lineRule="auto"/>
        <w:ind w:firstLine="480" w:firstLineChars="200"/>
        <w:outlineLvl w:val="1"/>
        <w:rPr>
          <w:rFonts w:ascii="仿宋_GB2312" w:hAnsi="仿宋_GB2312" w:cs="宋体"/>
          <w:sz w:val="24"/>
        </w:rPr>
      </w:pPr>
      <w:r>
        <w:rPr>
          <w:rFonts w:hint="eastAsia" w:ascii="仿宋_GB2312" w:hAnsi="仿宋_GB2312" w:cs="宋体"/>
          <w:sz w:val="24"/>
        </w:rPr>
        <w:t>（二）主要起草单位</w:t>
      </w:r>
    </w:p>
    <w:p>
      <w:pPr>
        <w:spacing w:line="440" w:lineRule="exact"/>
        <w:ind w:firstLine="480" w:firstLineChars="200"/>
        <w:rPr>
          <w:rFonts w:hint="eastAsia" w:ascii="仿宋_GB2312" w:hAnsi="仿宋_GB2312" w:cs="宋体"/>
          <w:sz w:val="24"/>
        </w:rPr>
      </w:pPr>
      <w:r>
        <w:rPr>
          <w:rFonts w:hint="eastAsia" w:ascii="Calibri" w:hAnsi="宋体" w:eastAsia="宋体" w:cs="Times New Roman"/>
          <w:sz w:val="24"/>
          <w:lang w:val="zh-CN"/>
        </w:rPr>
        <w:t>本标准由广西中医药大学</w:t>
      </w:r>
      <w:r>
        <w:rPr>
          <w:rFonts w:hint="eastAsia" w:ascii="Calibri" w:hAnsi="宋体" w:eastAsia="宋体" w:cs="Times New Roman"/>
          <w:sz w:val="24"/>
        </w:rPr>
        <w:t>负责起草完成。</w:t>
      </w:r>
    </w:p>
    <w:p>
      <w:pPr>
        <w:spacing w:before="156" w:beforeLines="50" w:after="156" w:afterLines="50" w:line="360" w:lineRule="auto"/>
        <w:ind w:firstLine="480" w:firstLineChars="200"/>
        <w:outlineLvl w:val="1"/>
        <w:rPr>
          <w:rFonts w:ascii="仿宋_GB2312" w:hAnsi="仿宋_GB2312" w:cs="宋体"/>
          <w:sz w:val="24"/>
        </w:rPr>
      </w:pPr>
      <w:r>
        <w:rPr>
          <w:rFonts w:hint="eastAsia" w:ascii="仿宋_GB2312" w:hAnsi="仿宋_GB2312" w:cs="宋体"/>
          <w:sz w:val="24"/>
        </w:rPr>
        <w:t>（三）主要起草人员名单</w:t>
      </w:r>
    </w:p>
    <w:p>
      <w:pPr>
        <w:spacing w:before="156" w:beforeLines="50" w:after="156" w:afterLines="50" w:line="360" w:lineRule="auto"/>
        <w:ind w:firstLine="480" w:firstLineChars="200"/>
        <w:outlineLvl w:val="1"/>
        <w:rPr>
          <w:rFonts w:hint="eastAsia" w:ascii="仿宋_GB2312" w:hAnsi="仿宋_GB2312" w:cs="宋体"/>
          <w:sz w:val="24"/>
        </w:rPr>
      </w:pPr>
      <w:r>
        <w:rPr>
          <w:rFonts w:hint="eastAsia" w:ascii="仿宋_GB2312" w:hAnsi="仿宋_GB2312" w:cs="宋体"/>
          <w:sz w:val="24"/>
        </w:rPr>
        <w:t>主要起草人员名单如下：</w:t>
      </w:r>
    </w:p>
    <w:tbl>
      <w:tblPr>
        <w:tblStyle w:val="4"/>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134"/>
        <w:gridCol w:w="1560"/>
        <w:gridCol w:w="198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kern w:val="0"/>
                <w:sz w:val="24"/>
              </w:rPr>
            </w:pPr>
            <w:r>
              <w:rPr>
                <w:rFonts w:hint="eastAsia" w:ascii="宋体" w:hAnsi="宋体"/>
                <w:kern w:val="0"/>
                <w:sz w:val="24"/>
              </w:rPr>
              <w:t>研制人员</w:t>
            </w:r>
          </w:p>
        </w:tc>
        <w:tc>
          <w:tcPr>
            <w:tcW w:w="1134" w:type="dxa"/>
            <w:tcBorders>
              <w:top w:val="single" w:color="auto" w:sz="4" w:space="0"/>
              <w:left w:val="nil"/>
              <w:bottom w:val="single" w:color="auto" w:sz="4" w:space="0"/>
              <w:right w:val="single" w:color="auto" w:sz="4" w:space="0"/>
            </w:tcBorders>
            <w:noWrap w:val="0"/>
            <w:vAlign w:val="center"/>
          </w:tcPr>
          <w:p>
            <w:pPr>
              <w:jc w:val="center"/>
              <w:rPr>
                <w:rFonts w:ascii="宋体" w:hAnsi="宋体"/>
                <w:kern w:val="0"/>
                <w:sz w:val="24"/>
              </w:rPr>
            </w:pPr>
            <w:r>
              <w:rPr>
                <w:rFonts w:hint="eastAsia" w:ascii="宋体" w:hAnsi="宋体"/>
                <w:kern w:val="0"/>
                <w:sz w:val="24"/>
              </w:rPr>
              <w:t>姓名</w:t>
            </w:r>
          </w:p>
        </w:tc>
        <w:tc>
          <w:tcPr>
            <w:tcW w:w="1560" w:type="dxa"/>
            <w:tcBorders>
              <w:top w:val="single" w:color="auto" w:sz="4" w:space="0"/>
              <w:left w:val="nil"/>
              <w:bottom w:val="single" w:color="auto" w:sz="4" w:space="0"/>
              <w:right w:val="single" w:color="auto" w:sz="4" w:space="0"/>
            </w:tcBorders>
            <w:noWrap w:val="0"/>
            <w:vAlign w:val="center"/>
          </w:tcPr>
          <w:p>
            <w:pPr>
              <w:jc w:val="center"/>
              <w:rPr>
                <w:rFonts w:ascii="宋体" w:hAnsi="宋体"/>
                <w:kern w:val="0"/>
                <w:sz w:val="24"/>
              </w:rPr>
            </w:pPr>
            <w:r>
              <w:rPr>
                <w:rFonts w:hint="eastAsia" w:ascii="宋体" w:hAnsi="宋体"/>
                <w:kern w:val="0"/>
                <w:sz w:val="24"/>
              </w:rPr>
              <w:t>职务/职称</w:t>
            </w:r>
          </w:p>
        </w:tc>
        <w:tc>
          <w:tcPr>
            <w:tcW w:w="1984" w:type="dxa"/>
            <w:tcBorders>
              <w:top w:val="single" w:color="auto" w:sz="4" w:space="0"/>
              <w:left w:val="nil"/>
              <w:bottom w:val="single" w:color="auto" w:sz="4" w:space="0"/>
              <w:right w:val="single" w:color="auto" w:sz="4" w:space="0"/>
            </w:tcBorders>
            <w:noWrap w:val="0"/>
            <w:vAlign w:val="center"/>
          </w:tcPr>
          <w:p>
            <w:pPr>
              <w:jc w:val="center"/>
              <w:rPr>
                <w:rFonts w:ascii="宋体" w:hAnsi="宋体"/>
                <w:kern w:val="0"/>
                <w:sz w:val="24"/>
              </w:rPr>
            </w:pPr>
            <w:r>
              <w:rPr>
                <w:rFonts w:hint="eastAsia" w:ascii="宋体" w:hAnsi="宋体"/>
                <w:kern w:val="0"/>
                <w:sz w:val="24"/>
              </w:rPr>
              <w:t>专业</w:t>
            </w:r>
          </w:p>
        </w:tc>
        <w:tc>
          <w:tcPr>
            <w:tcW w:w="1985" w:type="dxa"/>
            <w:tcBorders>
              <w:top w:val="single" w:color="auto" w:sz="4" w:space="0"/>
              <w:left w:val="nil"/>
              <w:bottom w:val="single" w:color="auto" w:sz="4" w:space="0"/>
              <w:right w:val="single" w:color="auto" w:sz="4" w:space="0"/>
            </w:tcBorders>
            <w:noWrap w:val="0"/>
            <w:vAlign w:val="center"/>
          </w:tcPr>
          <w:p>
            <w:pPr>
              <w:jc w:val="center"/>
              <w:rPr>
                <w:rFonts w:ascii="宋体" w:hAnsi="宋体"/>
                <w:kern w:val="0"/>
                <w:sz w:val="24"/>
              </w:rPr>
            </w:pPr>
            <w:r>
              <w:rPr>
                <w:rFonts w:hint="eastAsia" w:ascii="宋体" w:hAnsi="宋体"/>
                <w:kern w:val="0"/>
                <w:sz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项目负责人</w:t>
            </w:r>
          </w:p>
        </w:tc>
        <w:tc>
          <w:tcPr>
            <w:tcW w:w="1134" w:type="dxa"/>
            <w:tcBorders>
              <w:top w:val="single" w:color="auto" w:sz="4" w:space="0"/>
              <w:left w:val="nil"/>
              <w:bottom w:val="single" w:color="auto" w:sz="4" w:space="0"/>
              <w:right w:val="single" w:color="auto" w:sz="4" w:space="0"/>
            </w:tcBorders>
            <w:noWrap w:val="0"/>
            <w:vAlign w:val="center"/>
          </w:tcPr>
          <w:p>
            <w:pPr>
              <w:jc w:val="center"/>
              <w:rPr>
                <w:rFonts w:ascii="宋体" w:hAnsi="宋体"/>
                <w:kern w:val="0"/>
                <w:sz w:val="24"/>
              </w:rPr>
            </w:pPr>
            <w:r>
              <w:rPr>
                <w:rFonts w:hint="eastAsia" w:asciiTheme="minorEastAsia" w:hAnsiTheme="minorEastAsia" w:eastAsiaTheme="minorEastAsia" w:cstheme="minorEastAsia"/>
                <w:spacing w:val="-6"/>
                <w:sz w:val="24"/>
                <w:szCs w:val="24"/>
              </w:rPr>
              <w:t>庞宇舟</w:t>
            </w:r>
          </w:p>
        </w:tc>
        <w:tc>
          <w:tcPr>
            <w:tcW w:w="1560" w:type="dxa"/>
            <w:tcBorders>
              <w:top w:val="single" w:color="auto" w:sz="4" w:space="0"/>
              <w:left w:val="nil"/>
              <w:bottom w:val="single" w:color="auto" w:sz="4" w:space="0"/>
              <w:right w:val="single" w:color="auto" w:sz="4" w:space="0"/>
            </w:tcBorders>
            <w:noWrap w:val="0"/>
            <w:vAlign w:val="center"/>
          </w:tcPr>
          <w:p>
            <w:pPr>
              <w:jc w:val="center"/>
              <w:rPr>
                <w:rFonts w:ascii="宋体" w:hAnsi="宋体"/>
                <w:kern w:val="0"/>
                <w:sz w:val="24"/>
              </w:rPr>
            </w:pPr>
            <w:r>
              <w:rPr>
                <w:rFonts w:hint="eastAsia" w:asciiTheme="minorEastAsia" w:hAnsiTheme="minorEastAsia" w:eastAsiaTheme="minorEastAsia" w:cstheme="minorEastAsia"/>
                <w:spacing w:val="-6"/>
                <w:sz w:val="24"/>
                <w:szCs w:val="24"/>
              </w:rPr>
              <w:t>教授</w:t>
            </w:r>
          </w:p>
        </w:tc>
        <w:tc>
          <w:tcPr>
            <w:tcW w:w="1984" w:type="dxa"/>
            <w:tcBorders>
              <w:top w:val="single" w:color="auto" w:sz="4" w:space="0"/>
              <w:left w:val="nil"/>
              <w:bottom w:val="single" w:color="auto" w:sz="4" w:space="0"/>
              <w:right w:val="single" w:color="auto" w:sz="4" w:space="0"/>
            </w:tcBorders>
            <w:noWrap w:val="0"/>
            <w:vAlign w:val="center"/>
          </w:tcPr>
          <w:p>
            <w:pPr>
              <w:jc w:val="center"/>
              <w:rPr>
                <w:rFonts w:ascii="宋体" w:hAnsi="宋体"/>
                <w:kern w:val="0"/>
                <w:sz w:val="24"/>
                <w:highlight w:val="yellow"/>
              </w:rPr>
            </w:pPr>
            <w:r>
              <w:rPr>
                <w:rFonts w:hint="eastAsia" w:asciiTheme="minorEastAsia" w:hAnsiTheme="minorEastAsia" w:eastAsiaTheme="minorEastAsia" w:cstheme="minorEastAsia"/>
                <w:spacing w:val="-6"/>
                <w:sz w:val="24"/>
                <w:szCs w:val="24"/>
              </w:rPr>
              <w:t>壮医药</w:t>
            </w:r>
          </w:p>
        </w:tc>
        <w:tc>
          <w:tcPr>
            <w:tcW w:w="1985" w:type="dxa"/>
            <w:tcBorders>
              <w:top w:val="single" w:color="auto" w:sz="4" w:space="0"/>
              <w:left w:val="nil"/>
              <w:bottom w:val="single" w:color="auto" w:sz="4" w:space="0"/>
              <w:right w:val="single" w:color="auto" w:sz="4" w:space="0"/>
            </w:tcBorders>
            <w:noWrap w:val="0"/>
            <w:vAlign w:val="center"/>
          </w:tcPr>
          <w:p>
            <w:pPr>
              <w:jc w:val="center"/>
              <w:rPr>
                <w:rFonts w:ascii="宋体" w:hAnsi="宋体"/>
                <w:kern w:val="0"/>
                <w:sz w:val="24"/>
              </w:rPr>
            </w:pPr>
            <w:r>
              <w:rPr>
                <w:rFonts w:hint="eastAsia" w:asciiTheme="minorEastAsia" w:hAnsiTheme="minorEastAsia" w:eastAsiaTheme="minorEastAsia" w:cstheme="minorEastAsia"/>
                <w:spacing w:val="-6"/>
                <w:sz w:val="24"/>
                <w:szCs w:val="24"/>
              </w:rPr>
              <w:t>广西中医药大学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vMerge w:val="restart"/>
            <w:tcBorders>
              <w:top w:val="nil"/>
              <w:left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主要参加人员</w:t>
            </w:r>
          </w:p>
        </w:tc>
        <w:tc>
          <w:tcPr>
            <w:tcW w:w="113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kern w:val="0"/>
                <w:sz w:val="24"/>
              </w:rPr>
            </w:pPr>
            <w:r>
              <w:rPr>
                <w:rFonts w:hint="eastAsia" w:ascii="宋体" w:hAnsi="宋体"/>
                <w:kern w:val="0"/>
                <w:sz w:val="24"/>
              </w:rPr>
              <w:t>黄格朗</w:t>
            </w:r>
          </w:p>
        </w:tc>
        <w:tc>
          <w:tcPr>
            <w:tcW w:w="1560"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kern w:val="0"/>
                <w:sz w:val="24"/>
              </w:rPr>
            </w:pPr>
            <w:r>
              <w:rPr>
                <w:rFonts w:hint="eastAsia" w:ascii="宋体" w:hAnsi="宋体"/>
                <w:kern w:val="0"/>
                <w:sz w:val="24"/>
              </w:rPr>
              <w:t>副主任医师</w:t>
            </w:r>
          </w:p>
        </w:tc>
        <w:tc>
          <w:tcPr>
            <w:tcW w:w="198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kern w:val="0"/>
                <w:sz w:val="24"/>
              </w:rPr>
            </w:pPr>
            <w:r>
              <w:rPr>
                <w:rFonts w:hint="eastAsia" w:ascii="宋体" w:hAnsi="宋体"/>
                <w:kern w:val="0"/>
                <w:sz w:val="24"/>
              </w:rPr>
              <w:t>中西医结合</w:t>
            </w:r>
          </w:p>
        </w:tc>
        <w:tc>
          <w:tcPr>
            <w:tcW w:w="1985"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kern w:val="0"/>
                <w:sz w:val="24"/>
              </w:rPr>
            </w:pPr>
            <w:r>
              <w:rPr>
                <w:rFonts w:hint="eastAsia" w:ascii="宋体" w:hAnsi="宋体"/>
                <w:kern w:val="0"/>
                <w:sz w:val="24"/>
              </w:rPr>
              <w:t>贵港市人医院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vMerge w:val="continue"/>
            <w:tcBorders>
              <w:left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p>
        </w:tc>
        <w:tc>
          <w:tcPr>
            <w:tcW w:w="113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郭礼</w:t>
            </w:r>
          </w:p>
        </w:tc>
        <w:tc>
          <w:tcPr>
            <w:tcW w:w="1560"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副主任医师</w:t>
            </w:r>
          </w:p>
        </w:tc>
        <w:tc>
          <w:tcPr>
            <w:tcW w:w="198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中医学</w:t>
            </w:r>
          </w:p>
        </w:tc>
        <w:tc>
          <w:tcPr>
            <w:tcW w:w="1985"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贵港市人医院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vMerge w:val="continue"/>
            <w:tcBorders>
              <w:left w:val="single" w:color="auto" w:sz="4" w:space="0"/>
              <w:right w:val="single" w:color="auto" w:sz="4" w:space="0"/>
            </w:tcBorders>
            <w:noWrap w:val="0"/>
            <w:vAlign w:val="center"/>
          </w:tcPr>
          <w:p>
            <w:pPr>
              <w:widowControl/>
              <w:jc w:val="left"/>
              <w:rPr>
                <w:rFonts w:ascii="宋体" w:hAnsi="宋体"/>
                <w:kern w:val="0"/>
                <w:sz w:val="24"/>
              </w:rPr>
            </w:pPr>
          </w:p>
        </w:tc>
        <w:tc>
          <w:tcPr>
            <w:tcW w:w="113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戴序荣</w:t>
            </w:r>
          </w:p>
        </w:tc>
        <w:tc>
          <w:tcPr>
            <w:tcW w:w="1560"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主治医师</w:t>
            </w:r>
          </w:p>
        </w:tc>
        <w:tc>
          <w:tcPr>
            <w:tcW w:w="198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中医学</w:t>
            </w:r>
          </w:p>
        </w:tc>
        <w:tc>
          <w:tcPr>
            <w:tcW w:w="1985"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贵港市人医院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vMerge w:val="continue"/>
            <w:tcBorders>
              <w:left w:val="single" w:color="auto" w:sz="4" w:space="0"/>
              <w:right w:val="single" w:color="auto" w:sz="4" w:space="0"/>
            </w:tcBorders>
            <w:noWrap w:val="0"/>
            <w:vAlign w:val="center"/>
          </w:tcPr>
          <w:p>
            <w:pPr>
              <w:widowControl/>
              <w:jc w:val="left"/>
              <w:rPr>
                <w:rFonts w:ascii="宋体" w:hAnsi="宋体"/>
                <w:kern w:val="0"/>
                <w:sz w:val="24"/>
              </w:rPr>
            </w:pPr>
          </w:p>
        </w:tc>
        <w:tc>
          <w:tcPr>
            <w:tcW w:w="113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周德文</w:t>
            </w:r>
          </w:p>
        </w:tc>
        <w:tc>
          <w:tcPr>
            <w:tcW w:w="1560"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副主任医师</w:t>
            </w:r>
          </w:p>
        </w:tc>
        <w:tc>
          <w:tcPr>
            <w:tcW w:w="198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中医学</w:t>
            </w:r>
          </w:p>
        </w:tc>
        <w:tc>
          <w:tcPr>
            <w:tcW w:w="1985"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贵港市人医院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vMerge w:val="continue"/>
            <w:tcBorders>
              <w:left w:val="single" w:color="auto" w:sz="4" w:space="0"/>
              <w:right w:val="single" w:color="auto" w:sz="4" w:space="0"/>
            </w:tcBorders>
            <w:noWrap w:val="0"/>
            <w:vAlign w:val="center"/>
          </w:tcPr>
          <w:p>
            <w:pPr>
              <w:widowControl/>
              <w:jc w:val="left"/>
              <w:rPr>
                <w:rFonts w:ascii="宋体" w:hAnsi="宋体"/>
                <w:kern w:val="0"/>
                <w:sz w:val="24"/>
              </w:rPr>
            </w:pPr>
          </w:p>
        </w:tc>
        <w:tc>
          <w:tcPr>
            <w:tcW w:w="113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卢燕</w:t>
            </w:r>
          </w:p>
        </w:tc>
        <w:tc>
          <w:tcPr>
            <w:tcW w:w="1560"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副主任医师</w:t>
            </w:r>
          </w:p>
        </w:tc>
        <w:tc>
          <w:tcPr>
            <w:tcW w:w="198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中医学</w:t>
            </w:r>
          </w:p>
        </w:tc>
        <w:tc>
          <w:tcPr>
            <w:tcW w:w="1985"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贵港市人医院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vMerge w:val="continue"/>
            <w:tcBorders>
              <w:left w:val="single" w:color="auto" w:sz="4" w:space="0"/>
              <w:right w:val="single" w:color="auto" w:sz="4" w:space="0"/>
            </w:tcBorders>
            <w:noWrap w:val="0"/>
            <w:vAlign w:val="center"/>
          </w:tcPr>
          <w:p>
            <w:pPr>
              <w:widowControl/>
              <w:jc w:val="left"/>
              <w:rPr>
                <w:rFonts w:ascii="宋体" w:hAnsi="宋体"/>
                <w:kern w:val="0"/>
                <w:sz w:val="24"/>
              </w:rPr>
            </w:pPr>
          </w:p>
        </w:tc>
        <w:tc>
          <w:tcPr>
            <w:tcW w:w="113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周凯</w:t>
            </w:r>
          </w:p>
        </w:tc>
        <w:tc>
          <w:tcPr>
            <w:tcW w:w="1560"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副主任医师</w:t>
            </w:r>
          </w:p>
        </w:tc>
        <w:tc>
          <w:tcPr>
            <w:tcW w:w="198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中医骨伤学</w:t>
            </w:r>
          </w:p>
        </w:tc>
        <w:tc>
          <w:tcPr>
            <w:tcW w:w="1985"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贵港市人医院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vMerge w:val="continue"/>
            <w:tcBorders>
              <w:left w:val="single" w:color="auto" w:sz="4" w:space="0"/>
              <w:right w:val="single" w:color="auto" w:sz="4" w:space="0"/>
            </w:tcBorders>
            <w:noWrap w:val="0"/>
            <w:vAlign w:val="center"/>
          </w:tcPr>
          <w:p>
            <w:pPr>
              <w:widowControl/>
              <w:jc w:val="left"/>
              <w:rPr>
                <w:rFonts w:ascii="宋体" w:hAnsi="宋体"/>
                <w:kern w:val="0"/>
                <w:sz w:val="24"/>
              </w:rPr>
            </w:pPr>
          </w:p>
        </w:tc>
        <w:tc>
          <w:tcPr>
            <w:tcW w:w="113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潘鑫</w:t>
            </w:r>
          </w:p>
        </w:tc>
        <w:tc>
          <w:tcPr>
            <w:tcW w:w="1560"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主治医师</w:t>
            </w:r>
          </w:p>
        </w:tc>
        <w:tc>
          <w:tcPr>
            <w:tcW w:w="198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中医学</w:t>
            </w:r>
          </w:p>
        </w:tc>
        <w:tc>
          <w:tcPr>
            <w:tcW w:w="1985"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贵港市人医院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1701"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13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梁护</w:t>
            </w:r>
          </w:p>
        </w:tc>
        <w:tc>
          <w:tcPr>
            <w:tcW w:w="1560"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主治医师</w:t>
            </w:r>
          </w:p>
        </w:tc>
        <w:tc>
          <w:tcPr>
            <w:tcW w:w="1984"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中医学</w:t>
            </w:r>
          </w:p>
        </w:tc>
        <w:tc>
          <w:tcPr>
            <w:tcW w:w="1985" w:type="dxa"/>
            <w:tcBorders>
              <w:top w:val="single" w:color="auto" w:sz="4" w:space="0"/>
              <w:left w:val="nil"/>
              <w:bottom w:val="single" w:color="auto" w:sz="4" w:space="0"/>
              <w:right w:val="single" w:color="auto" w:sz="4" w:space="0"/>
            </w:tcBorders>
            <w:noWrap w:val="0"/>
            <w:vAlign w:val="center"/>
          </w:tcPr>
          <w:p>
            <w:pPr>
              <w:autoSpaceDE w:val="0"/>
              <w:autoSpaceDN w:val="0"/>
              <w:adjustRightInd w:val="0"/>
              <w:spacing w:line="440" w:lineRule="exact"/>
              <w:jc w:val="center"/>
              <w:rPr>
                <w:rFonts w:ascii="宋体" w:hAnsi="宋体"/>
                <w:kern w:val="0"/>
                <w:sz w:val="24"/>
              </w:rPr>
            </w:pPr>
            <w:r>
              <w:rPr>
                <w:rFonts w:hint="eastAsia" w:ascii="宋体" w:hAnsi="宋体"/>
                <w:kern w:val="0"/>
                <w:sz w:val="24"/>
              </w:rPr>
              <w:t>贵港市人医院</w:t>
            </w:r>
          </w:p>
        </w:tc>
      </w:tr>
    </w:tbl>
    <w:p>
      <w:pPr>
        <w:autoSpaceDE w:val="0"/>
        <w:autoSpaceDN w:val="0"/>
        <w:adjustRightInd w:val="0"/>
        <w:spacing w:line="560" w:lineRule="exact"/>
        <w:ind w:firstLine="463" w:firstLineChars="192"/>
        <w:rPr>
          <w:rFonts w:hint="eastAsia" w:ascii="仿宋_GB2312" w:hAnsi="仿宋_GB2312"/>
          <w:b/>
          <w:sz w:val="24"/>
        </w:rPr>
      </w:pPr>
      <w:r>
        <w:rPr>
          <w:rFonts w:hint="eastAsia" w:ascii="Times New Roman" w:hAnsi="宋体" w:eastAsia="宋体" w:cs="Times New Roman"/>
          <w:b/>
          <w:sz w:val="24"/>
        </w:rPr>
        <w:t>二、编制标准意义</w:t>
      </w:r>
    </w:p>
    <w:p>
      <w:pPr>
        <w:spacing w:before="156" w:beforeLines="50" w:after="156" w:afterLines="50" w:line="360" w:lineRule="auto"/>
        <w:ind w:firstLine="480" w:firstLineChars="200"/>
        <w:outlineLvl w:val="1"/>
        <w:rPr>
          <w:rFonts w:hint="eastAsia" w:ascii="Times New Roman" w:hAnsi="宋体" w:eastAsia="宋体" w:cs="Times New Roman"/>
          <w:sz w:val="24"/>
        </w:rPr>
      </w:pPr>
      <w:r>
        <w:rPr>
          <w:rFonts w:hint="eastAsia" w:ascii="Times New Roman" w:hAnsi="宋体" w:eastAsia="宋体" w:cs="Times New Roman"/>
          <w:sz w:val="24"/>
        </w:rPr>
        <w:t>1.旁巴尹（肩周炎）发病率在现代的生活中逐年升高，缠绵难愈，严重影响患者正常工作和身心。壮医认为本病是湿毒入侵肩关节及其周围的龙路火路，阻滞局部龙路火路网结点，使气血运行不畅，从而导致肩关节的疼痛及活动障碍。壮医毒理论认为壮族地区气候炎热，潮湿多雨，易酿成湿毒，湿毒滞留于肩周，导致龙路火路不通，气血运行不畅，筋结形成，而产生疼痛形成肩周炎，壮医称为“旁巴尹”。其病位在经筋，病理是“筋结”形成。目前中医和西医的治疗方式多是以缓解疼痛等对症治疗为主。</w:t>
      </w:r>
    </w:p>
    <w:p>
      <w:pPr>
        <w:spacing w:before="156" w:beforeLines="50" w:after="156" w:afterLines="50" w:line="360" w:lineRule="auto"/>
        <w:ind w:firstLine="480" w:firstLineChars="200"/>
        <w:outlineLvl w:val="1"/>
        <w:rPr>
          <w:rFonts w:ascii="宋体" w:hAnsi="宋体"/>
          <w:sz w:val="24"/>
        </w:rPr>
      </w:pPr>
      <w:r>
        <w:rPr>
          <w:rFonts w:hint="eastAsia" w:ascii="Times New Roman" w:hAnsi="宋体" w:eastAsia="宋体" w:cs="Times New Roman"/>
          <w:sz w:val="24"/>
        </w:rPr>
        <w:t>2. 壮医治疗的关键是如何准确找到“筋结”点并松筋解结，同时湿毒留滞，当以除湿解毒，通达道路，调畅气机，使受阻之龙路火路恢复通畅，气血运行正常，三气达到同步。壮医点穴疗法是医者用手指在患者体表的穴位和刺激线上施行点、压、掐、拍和扣等手法以治疗疾病的一种方法，该法通过医者手指准确的点按，能够直接有效作用于肩关节及周围的龙路、火路网络阻滞点，达到疏通龙路、火路阻滞点的作用；壮医药物热熨法是运用壮医特定药方经过蒸煮后，直接汤熨在肩关节及其周围，利用热力将药物有效成分通过透皮吸收作用于肩关节及周围龙路、火路，以疏通网络阻滞点。先以壮医点穴手法揉散筋结，疏通网络阻滞点，继以壮医药物热熨，行气活血，疏利筋骨，则肩关节疼痛自消，活动自如。</w:t>
      </w:r>
    </w:p>
    <w:p>
      <w:pPr>
        <w:autoSpaceDE w:val="0"/>
        <w:autoSpaceDN w:val="0"/>
        <w:adjustRightInd w:val="0"/>
        <w:spacing w:line="360" w:lineRule="auto"/>
        <w:ind w:firstLine="480" w:firstLineChars="200"/>
        <w:jc w:val="left"/>
        <w:rPr>
          <w:rFonts w:ascii="宋体" w:hAnsi="宋体"/>
          <w:sz w:val="24"/>
        </w:rPr>
      </w:pPr>
      <w:r>
        <w:rPr>
          <w:rFonts w:hint="eastAsia" w:ascii="Times New Roman" w:hAnsi="宋体" w:eastAsia="宋体" w:cs="Times New Roman"/>
          <w:sz w:val="24"/>
        </w:rPr>
        <w:t>壮医透骨海桐方是我院治疗肩痛并在临床运用多年的外洗经验方，以透骨草、海桐皮、飞龙掌血三者为主药；牛大力、海风藤、石南藤、大风艾、大驳骨、两面针为帮药；走马胎为公药；九节木、络石藤为母药，全方主帮公母合用，诸药研磨成粉，加热后外敷作用于皮肤表面，使药物直达病灶，则龙路火路畅通，寒散湿除，筋骨关节通利而疼痛自除，肩周炎得愈。</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3.旁巴尹（肩周炎）是壮医优势病种。旁巴尹是壮医“湿毒病”的一种，壮医外治积累丰富了的经验，“简、便、廉、验”的壮医特色技法显示出较大的治疗优势，在此基础上壮医点穴配合壮医药物热熨疗法，与中频治疗仪治疗相比，能够显著减轻患者肩关节疼痛、明显改善肩关节活动功能，临床疗效显著，疗法技术操作简易、安全可靠，易在基层推广普及，将对壮医药的发展及壮医药结合现代医学的研究模式起到良好的促进作用。</w:t>
      </w:r>
    </w:p>
    <w:p>
      <w:pPr>
        <w:autoSpaceDE w:val="0"/>
        <w:autoSpaceDN w:val="0"/>
        <w:adjustRightInd w:val="0"/>
        <w:spacing w:line="360" w:lineRule="auto"/>
        <w:ind w:firstLine="480" w:firstLineChars="200"/>
        <w:jc w:val="left"/>
        <w:rPr>
          <w:rFonts w:ascii="宋体" w:hAnsi="宋体"/>
          <w:sz w:val="24"/>
        </w:rPr>
      </w:pPr>
      <w:r>
        <w:rPr>
          <w:rFonts w:hint="eastAsia" w:ascii="Times New Roman" w:hAnsi="宋体" w:eastAsia="宋体" w:cs="Times New Roman"/>
          <w:sz w:val="24"/>
        </w:rPr>
        <w:t>4.建立旁巴尹（肩周炎）壮医点穴配合壮医药物热熨疗法治疗规范将推动广西标准化事业发展。尽管壮医药起源很早，但由于壮族历史上没有形成本民族规范通行的的统一文字，长期以来无法形成完整的壮医药理论体系，也未能形成完整规范的壮医技法操作规范。因此，建立旁巴尹（肩周炎）壮医点穴配合壮医药物热熨疗法治疗操作规范，并将其应用到临床治疗中，不仅促进壮医药临床规范化、疗效评价标准化，还将推动广西标准化事业创新和发展。</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5.目前国内外西医治疗肩周炎主要方法：口服消炎镇痛药，物理治疗，痛点局部封闭，中医按摩推拿、自我按摩等综合疗法，甚至在全麻下手法松解，研究壮医药治疗肩周炎的临床报道较少，国内外没有壮医点穴配合壮医药物热熨疗法治疗肩周炎操作规范的描述。经查阅《中华人民共和国国家标准批准发布公告》、《中华人民共和国地方标准备案公告》，目前旁巴尹（肩周炎）壮医点穴配合壮医药物热熨疗法还没有相关的国家标准、行业标准和地方标准。</w:t>
      </w:r>
    </w:p>
    <w:p>
      <w:pPr>
        <w:autoSpaceDE w:val="0"/>
        <w:autoSpaceDN w:val="0"/>
        <w:adjustRightInd w:val="0"/>
        <w:spacing w:line="360" w:lineRule="auto"/>
        <w:ind w:firstLine="480" w:firstLineChars="200"/>
        <w:jc w:val="left"/>
        <w:rPr>
          <w:rFonts w:ascii="宋体" w:hAnsi="宋体"/>
          <w:sz w:val="24"/>
        </w:rPr>
      </w:pPr>
      <w:r>
        <w:rPr>
          <w:rFonts w:hint="eastAsia" w:ascii="Times New Roman" w:hAnsi="宋体" w:eastAsia="宋体" w:cs="Times New Roman"/>
          <w:sz w:val="24"/>
        </w:rPr>
        <w:t>因此，本标准的制定，可为旁巴尹（肩周炎）壮医点穴配合壮医药物热熨疗法临床应用提供技术规范，对该病种的适宜技术推广和临床应用具有重要意义。</w:t>
      </w:r>
    </w:p>
    <w:p>
      <w:pPr>
        <w:autoSpaceDE w:val="0"/>
        <w:autoSpaceDN w:val="0"/>
        <w:adjustRightInd w:val="0"/>
        <w:spacing w:line="560" w:lineRule="exact"/>
        <w:ind w:firstLine="472" w:firstLineChars="196"/>
        <w:rPr>
          <w:rFonts w:ascii="宋体" w:hAnsi="宋体"/>
          <w:b/>
          <w:sz w:val="24"/>
        </w:rPr>
      </w:pPr>
      <w:r>
        <w:rPr>
          <w:rFonts w:hint="eastAsia" w:ascii="Times New Roman" w:hAnsi="宋体" w:eastAsia="宋体" w:cs="Times New Roman"/>
          <w:b/>
          <w:sz w:val="24"/>
        </w:rPr>
        <w:t>三、标准编制及研究起草过程</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（一）标准前期工作</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1.2014年由广西中医药大学与广西壮族自治区科学技术厅签订的广西科学研究与技术开发计划项目合同（合同编号：桂科攻14124003-10），以及广西科学研究与技术开发计划项目管理和科技经费管理的有关规定，为顺利完成科计字〔2014〕124 号文件下达的广西科学研究与技术开发计划项目“壮医湿毒病特色疗法技术规范化研究与示范”，广西中医药大学与子课题承担单位贵港市人民医院特订立了本项目子课题任务书。目的通过以壮医“湿毒病”肩周炎为研究对象，以壮医毒论理论为指导，采用随机对照的临床研究方法，对壮医点穴配合壮医药物热熨疗法治疗肩周炎的有效性、安全性开展临床示范性研究。通过本研究提炼壮医点穴配合壮医药物热熨疗法治疗肩周炎的关键技术，建立壮医点穴配合壮医药物热熨疗法治疗肩周炎的技术规范和开展疗效评价研究，并进行临床示范推广应用。目前该项目已通过了验收。建立了壮医点穴配合壮医药物热熨疗法治疗肩周炎的疗效评价与规范治疗方案1项，形成院内协定处方1项，发表论文3篇，申请发明专利1项。</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2.标准主管部门广西壮族自治区科学技术厅下达的2018年第二批广西地方标准制定项目计划后，于2019年1月22日</w:t>
      </w:r>
      <w:r>
        <w:rPr>
          <w:rFonts w:hint="eastAsia" w:hAnsi="宋体" w:cs="Times New Roman"/>
          <w:sz w:val="24"/>
          <w:lang w:eastAsia="zh-CN"/>
        </w:rPr>
        <w:t>成立标准起草</w:t>
      </w:r>
      <w:r>
        <w:rPr>
          <w:rFonts w:hint="eastAsia" w:ascii="Times New Roman" w:hAnsi="宋体" w:eastAsia="宋体" w:cs="Times New Roman"/>
          <w:sz w:val="24"/>
          <w:lang w:val="zh-CN"/>
        </w:rPr>
        <w:t>小组</w:t>
      </w:r>
      <w:r>
        <w:rPr>
          <w:rFonts w:hint="eastAsia" w:hAnsi="宋体" w:cs="Times New Roman"/>
          <w:sz w:val="24"/>
          <w:lang w:val="zh-CN"/>
        </w:rPr>
        <w:t>，主要</w:t>
      </w:r>
      <w:r>
        <w:rPr>
          <w:rFonts w:hint="eastAsia" w:ascii="Times New Roman" w:hAnsi="宋体" w:eastAsia="宋体" w:cs="Times New Roman"/>
          <w:sz w:val="24"/>
          <w:lang w:val="zh-CN"/>
        </w:rPr>
        <w:t>负责人为广西中医药大学党委副书记庞宇舟教授</w:t>
      </w:r>
      <w:r>
        <w:rPr>
          <w:rFonts w:hint="eastAsia" w:hAnsi="宋体" w:cs="Times New Roman"/>
          <w:sz w:val="24"/>
          <w:lang w:val="zh-CN"/>
        </w:rPr>
        <w:t>，</w:t>
      </w:r>
      <w:r>
        <w:rPr>
          <w:rFonts w:hint="eastAsia" w:ascii="Times New Roman" w:hAnsi="宋体" w:eastAsia="宋体" w:cs="Times New Roman"/>
          <w:sz w:val="24"/>
        </w:rPr>
        <w:t>贵港市人民医院黄格朗副主任医师</w:t>
      </w:r>
      <w:r>
        <w:rPr>
          <w:rFonts w:hint="eastAsia" w:hAnsi="宋体" w:cs="Times New Roman"/>
          <w:sz w:val="24"/>
          <w:lang w:eastAsia="zh-CN"/>
        </w:rPr>
        <w:t>、</w:t>
      </w:r>
      <w:r>
        <w:rPr>
          <w:rFonts w:hint="eastAsia" w:ascii="Times New Roman" w:hAnsi="宋体" w:eastAsia="宋体" w:cs="Times New Roman"/>
          <w:sz w:val="24"/>
        </w:rPr>
        <w:t>郭礼</w:t>
      </w:r>
      <w:r>
        <w:rPr>
          <w:rFonts w:hint="eastAsia" w:hAnsi="宋体" w:cs="Times New Roman"/>
          <w:sz w:val="24"/>
          <w:lang w:val="en-US" w:eastAsia="zh-CN"/>
        </w:rPr>
        <w:t>副</w:t>
      </w:r>
      <w:r>
        <w:rPr>
          <w:rFonts w:hint="eastAsia" w:ascii="Times New Roman" w:hAnsi="宋体" w:eastAsia="宋体" w:cs="Times New Roman"/>
          <w:sz w:val="24"/>
        </w:rPr>
        <w:t>主任医师、戴序荣</w:t>
      </w:r>
      <w:r>
        <w:rPr>
          <w:rFonts w:hint="eastAsia" w:hAnsi="宋体" w:cs="Times New Roman"/>
          <w:sz w:val="24"/>
          <w:lang w:eastAsia="zh-CN"/>
        </w:rPr>
        <w:t>主治医师</w:t>
      </w:r>
      <w:r>
        <w:rPr>
          <w:rFonts w:hint="eastAsia" w:ascii="Times New Roman" w:hAnsi="宋体" w:eastAsia="宋体" w:cs="Times New Roman"/>
          <w:sz w:val="24"/>
        </w:rPr>
        <w:t>等为参与标准编制，进行了任务分工。本项目组前期在广西科技攻关计划课题的资助下对壮医点穴配合壮医药物热熨疗法治疗肩周炎的临床疗效及规范化操作进行了初步研究，为本技术标准的制定奠定了良好基础。在编制过程中，我们在广泛探讨和试验研究的同时还咨询了相关权威专家，力争编制工作过程科学、严谨，方法、技术路线正确。</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（二）标准研究过程</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1.标准编制项目下达后，按照广西区质监局关于编制标准工作的要求，编制小组于项目实施期间，多次进行旁巴尹（肩周炎）壮医点穴配合壮医药物热熨疗法的研究、探讨、操作、试验等，得出各个操作步骤的最佳方案和疗效，确保数据及方法的科学性。同时，小组成员在编制过程多渠道去咨询内行专家，确保标准制定的科学性及实用性。</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2.编制小组对取得的数据进行全面整理，根据试验结果，确定了旁巴尹（肩周炎）壮医点穴配合壮医药物热熨疗法的术语和定义、适应症、禁忌症、治疗的理论依据、操作的步骤及注意事项，并在编制过程中咨询了壮医方面的权威专家，对收到的反馈意见进行分析、采纳、修改，形成了本标准的征求意见稿。</w:t>
      </w:r>
    </w:p>
    <w:p>
      <w:pPr>
        <w:autoSpaceDE w:val="0"/>
        <w:autoSpaceDN w:val="0"/>
        <w:adjustRightInd w:val="0"/>
        <w:spacing w:line="560" w:lineRule="exact"/>
        <w:ind w:firstLine="354" w:firstLineChars="147"/>
        <w:rPr>
          <w:rFonts w:ascii="宋体" w:hAnsi="宋体"/>
          <w:b/>
          <w:sz w:val="24"/>
        </w:rPr>
      </w:pPr>
      <w:r>
        <w:rPr>
          <w:rFonts w:hint="eastAsia" w:ascii="Times New Roman" w:hAnsi="宋体" w:eastAsia="宋体" w:cs="Times New Roman"/>
          <w:b/>
          <w:sz w:val="24"/>
        </w:rPr>
        <w:t>四、标准编写原则及确定标准内容的论据</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（一）标准编写原则</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1.遵循《中华人民共和国标准化法》等法规和标准。</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2.本标准的格式和编写方法执行GB/T 1.1-2009的规定。</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3.本标准的制定力求准确、系统，内容与当前旁巴尹（肩周炎）壮医点穴配合壮医药物热熨疗法的临床研究状况紧密结合，重视可操作性。</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（二）标准编写依据</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1.制定本标准的目的是规范和统一旁巴尹（肩周炎）壮医点穴配合壮医药物热熨疗法的临床应用的具体操作，建立旁巴尹（肩周炎）壮医点穴配合壮医药物热熨疗法的技术规范和开展疗效评价研究，并进行临床示范推广应用。</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2.本标准旁巴尹（肩周炎）壮医点穴配合壮医药物热熨规范适用于临床旁巴尹疾病的治疗。</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3.本标准的编写以旁巴尹（肩周炎）壮医点穴配合壮医药物热熨的有效性、安全性开展高质量的临床示范性研究为基本依据。</w:t>
      </w:r>
    </w:p>
    <w:p>
      <w:pPr>
        <w:autoSpaceDE w:val="0"/>
        <w:autoSpaceDN w:val="0"/>
        <w:adjustRightInd w:val="0"/>
        <w:spacing w:line="560" w:lineRule="exact"/>
        <w:ind w:firstLine="354" w:firstLineChars="147"/>
        <w:rPr>
          <w:rFonts w:hint="eastAsia" w:ascii="Times New Roman" w:hAnsi="宋体" w:eastAsia="宋体" w:cs="Times New Roman"/>
          <w:b/>
          <w:sz w:val="24"/>
        </w:rPr>
      </w:pPr>
      <w:r>
        <w:rPr>
          <w:rFonts w:hint="eastAsia" w:ascii="Times New Roman" w:hAnsi="宋体" w:eastAsia="宋体" w:cs="Times New Roman"/>
          <w:b/>
          <w:sz w:val="24"/>
        </w:rPr>
        <w:t>五、标准主要技术内容</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(一) 范围</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本标准列出了旁巴尹（肩周炎）壮医点穴配合壮医药物热熨术语和定义、适应症及禁忌症，提出肩周炎壮医点穴配合壮医药物热熨治疗的理论依据，规范了肩周炎壮医点穴配合壮医药物热熨治疗的操作的步骤，注意事项。</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主要技术内容及其说明</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 xml:space="preserve">1治疗方法 </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1.1壮医点穴操作方法</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医者两手配合，左手主要固定诊察部位，右手根据所检查部位的生理形态、肌筋的厚薄及层次、正常组织的张力、结构形状等情况，分别运用拇指的指尖、指腹及拇指与四小指的指合力或用肘尖，对经筋线作浅、中、深层次，由浅至深，由轻至重，以切、循、按、摸、弹拔、推按、拔刮、拑掐、揉捏等手法进行操作。筋结分点、线、面等形状，以触压疼痛异常敏感为特征。</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穴位：肩骼、肩外俞、巨骨、蠕俞、曲池、天宗等，并选痛点为阿是穴。</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点穴方法：点揉结合，每穴30秒。</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1.2壮医药物热熨疗法操作方法</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壮医透骨海桐方：透骨草60g，海桐皮60g，海风藤50g，飞龙掌血50g、石南藤40g、走马胎40g，两面针40g，大风艾30g，九节木30g，爬墙虎30g、大驳骨30g、牛大力30g，打碎成粉状后，装入15cm×18cm的纱布袋内扎紧，将纱布袋放入QX-02型微电脑熏蒸机(杭州强新医疗设备有限公司生产)内煮沸，沥干，即可烫熨。烫熨时，先将温度50℃～60℃的药包在肩颈部进行轻轻的上下快速拍打，以防止持续烫熨而烫伤患部皮肤，待温度下降至不烫，但仍有较强热力时，可改敷压，直至感到药包没有热力为止。</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1.3治疗疗程</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治疗每天1次，点穴、烫熨时间分别为20分钟，4周为1个疗程，一般治疗1-2个疗程。</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2疗效观察</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2.1肩关节疼痛评分</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采用视觉模拟评分法(visual analogue Scale, VAS)采用目测类比评分法(VAS)评分。根据患者的主观感受记录，0分表示无疼痛；1-3分表示轻度疼痛；4-6分表示中度疼痛；7-9分表示重度疼痛；10分表示难以忍受。</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2.2肩关节周围炎评分</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采用Constant-Murley肩关节评分系统(CMS)，满分100分，分别由疼痛(15分)，ADL功能活动(20分)，ROM肩关节活动度(40分)及MMT肌力(25分)四个量子表组成。分数越高表示功能越好。</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2.3临床疗效判断</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参照《中药新药临床研究指导原则》制定。⑴临床治愈：肩部疼痛症状消失，肩关节功能恢复正常；⑵显效：肩部疼痛基本消失，肩关节功能基本恢复正常；⑶有效：肩部疼痛症状减轻，肩关节活动范围增大；⑷无效：肩关节疼痛症状及活动度无改善。</w:t>
      </w:r>
    </w:p>
    <w:p>
      <w:pPr>
        <w:autoSpaceDE w:val="0"/>
        <w:autoSpaceDN w:val="0"/>
        <w:adjustRightInd w:val="0"/>
        <w:spacing w:line="560" w:lineRule="exact"/>
        <w:ind w:firstLine="354" w:firstLineChars="147"/>
        <w:rPr>
          <w:rFonts w:hint="eastAsia" w:ascii="Times New Roman" w:hAnsi="宋体" w:eastAsia="宋体" w:cs="Times New Roman"/>
          <w:b/>
          <w:sz w:val="24"/>
        </w:rPr>
      </w:pPr>
      <w:r>
        <w:rPr>
          <w:rFonts w:hint="eastAsia" w:ascii="Times New Roman" w:hAnsi="宋体" w:eastAsia="宋体" w:cs="Times New Roman"/>
          <w:b/>
          <w:sz w:val="24"/>
        </w:rPr>
        <w:t>六、与现行法律、法规及标准关系</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本标准（征求意见稿）制定是依据《中华人民共和国标准化法》等国家相关的法规和强制性标准的基础上结合地方实际情况制定出来的，因此与现行法律、法规及强制性标准无冲突。</w:t>
      </w:r>
    </w:p>
    <w:p>
      <w:pPr>
        <w:autoSpaceDE w:val="0"/>
        <w:autoSpaceDN w:val="0"/>
        <w:adjustRightInd w:val="0"/>
        <w:spacing w:line="560" w:lineRule="exact"/>
        <w:ind w:firstLine="354" w:firstLineChars="147"/>
        <w:rPr>
          <w:rFonts w:hint="eastAsia" w:ascii="Times New Roman" w:hAnsi="宋体" w:eastAsia="宋体" w:cs="Times New Roman"/>
          <w:b/>
          <w:sz w:val="24"/>
        </w:rPr>
      </w:pPr>
      <w:r>
        <w:rPr>
          <w:rFonts w:hint="eastAsia" w:ascii="Times New Roman" w:hAnsi="宋体" w:eastAsia="宋体" w:cs="Times New Roman"/>
          <w:b/>
          <w:sz w:val="24"/>
        </w:rPr>
        <w:t>七、实施标准的要求和措施建议</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标准必须是在遵循法律法规及国家相关标准的前提下，综合旁巴尹（肩周炎）壮医点穴配合壮医药物热熨疗法实际要求制定，标准必须具有法律依据及可操作性。</w:t>
      </w:r>
    </w:p>
    <w:p>
      <w:pPr>
        <w:autoSpaceDE w:val="0"/>
        <w:autoSpaceDN w:val="0"/>
        <w:adjustRightInd w:val="0"/>
        <w:spacing w:line="360" w:lineRule="auto"/>
        <w:ind w:firstLine="480" w:firstLineChars="200"/>
        <w:jc w:val="left"/>
        <w:rPr>
          <w:rFonts w:hint="eastAsia" w:ascii="Times New Roman" w:hAnsi="宋体" w:eastAsia="宋体" w:cs="Times New Roman"/>
          <w:sz w:val="24"/>
        </w:rPr>
      </w:pPr>
      <w:r>
        <w:rPr>
          <w:rFonts w:hint="eastAsia" w:ascii="Times New Roman" w:hAnsi="宋体" w:eastAsia="宋体" w:cs="Times New Roman"/>
          <w:sz w:val="24"/>
        </w:rPr>
        <w:t>将《旁巴尹（肩周炎）壮医点穴配合壮医药物热熨疗法治疗规范》作为推荐性标准试行1-2年后，对不完善的地方加以完善和修正，为进一步规范操作，建议该标准进一步申报行业或国家标准。</w:t>
      </w:r>
    </w:p>
    <w:p>
      <w:pPr>
        <w:autoSpaceDE w:val="0"/>
        <w:autoSpaceDN w:val="0"/>
        <w:adjustRightInd w:val="0"/>
        <w:spacing w:line="560" w:lineRule="exact"/>
        <w:ind w:firstLine="310" w:firstLineChars="147"/>
        <w:rPr>
          <w:rFonts w:hint="eastAsia" w:ascii="Times New Roman" w:hAnsi="宋体" w:eastAsia="宋体" w:cs="Times New Roman"/>
          <w:b/>
          <w:sz w:val="21"/>
          <w:szCs w:val="21"/>
        </w:rPr>
      </w:pPr>
      <w:r>
        <w:rPr>
          <w:rFonts w:hint="eastAsia" w:ascii="Times New Roman" w:hAnsi="宋体" w:eastAsia="宋体" w:cs="Times New Roman"/>
          <w:b/>
          <w:sz w:val="21"/>
          <w:szCs w:val="21"/>
        </w:rPr>
        <w:t>八、参考文献：</w:t>
      </w:r>
    </w:p>
    <w:p>
      <w:pPr>
        <w:spacing w:line="360" w:lineRule="auto"/>
        <w:rPr>
          <w:rFonts w:hint="eastAsia" w:ascii="Times New Roman" w:hAnsi="宋体" w:eastAsia="宋体" w:cs="Times New Roman"/>
          <w:sz w:val="24"/>
        </w:rPr>
      </w:pPr>
      <w:r>
        <w:rPr>
          <w:rFonts w:hint="eastAsia" w:hAnsi="宋体"/>
          <w:bCs/>
          <w:sz w:val="24"/>
        </w:rPr>
        <w:t>[</w:t>
      </w:r>
      <w:r>
        <w:rPr>
          <w:rFonts w:hint="eastAsia" w:hAnsi="宋体"/>
          <w:bCs/>
          <w:sz w:val="24"/>
          <w:lang w:val="en-US" w:eastAsia="zh-CN"/>
        </w:rPr>
        <w:t>1</w:t>
      </w:r>
      <w:r>
        <w:rPr>
          <w:rFonts w:hint="eastAsia" w:hAnsi="宋体"/>
          <w:bCs/>
          <w:sz w:val="24"/>
        </w:rPr>
        <w:t>]</w:t>
      </w:r>
      <w:r>
        <w:rPr>
          <w:rFonts w:hint="eastAsia" w:ascii="Times New Roman" w:hAnsi="宋体" w:eastAsia="宋体" w:cs="Times New Roman"/>
          <w:sz w:val="24"/>
        </w:rPr>
        <w:t>周凯，郭礼，卢燕，周德文，黄格朗，壮医点穴配合壮医药物热熨疗法治疗肩周炎40例，大众科技，2017，19（211）：70-71.</w:t>
      </w:r>
    </w:p>
    <w:p>
      <w:pPr>
        <w:spacing w:line="360" w:lineRule="auto"/>
        <w:rPr>
          <w:rFonts w:hint="default" w:ascii="Times New Roman" w:hAnsi="Times New Roman" w:cs="Times New Roman"/>
          <w:spacing w:val="2"/>
          <w:sz w:val="24"/>
        </w:rPr>
      </w:pPr>
      <w:r>
        <w:rPr>
          <w:rFonts w:hint="eastAsia" w:hAnsi="宋体"/>
          <w:bCs/>
          <w:sz w:val="24"/>
        </w:rPr>
        <w:t>[</w:t>
      </w:r>
      <w:r>
        <w:rPr>
          <w:rFonts w:hint="eastAsia" w:hAnsi="宋体"/>
          <w:bCs/>
          <w:sz w:val="24"/>
          <w:lang w:val="en-US" w:eastAsia="zh-CN"/>
        </w:rPr>
        <w:t>2</w:t>
      </w:r>
      <w:r>
        <w:rPr>
          <w:rFonts w:hint="eastAsia" w:hAnsi="宋体"/>
          <w:bCs/>
          <w:sz w:val="24"/>
        </w:rPr>
        <w:t>]</w:t>
      </w:r>
      <w:r>
        <w:rPr>
          <w:rFonts w:hint="default" w:ascii="Times New Roman" w:hAnsi="Times New Roman" w:cs="Times New Roman"/>
          <w:spacing w:val="2"/>
          <w:sz w:val="24"/>
        </w:rPr>
        <w:t>De-Wen Zhou, Kai Zhou, Li Guo, Yan Lu, Ge-Lang Huang，Clinical effects of digital acupoint pressure combined with hot ironing for scapulohumeral periarthritis in Zhuang medicine. Traditional Medicine Research, 2017，2(3): 139-143.</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117A0C"/>
    <w:rsid w:val="03BA74A9"/>
    <w:rsid w:val="0CEA7551"/>
    <w:rsid w:val="10573CA1"/>
    <w:rsid w:val="1452082C"/>
    <w:rsid w:val="156504EB"/>
    <w:rsid w:val="3F320FD8"/>
    <w:rsid w:val="41D33E14"/>
    <w:rsid w:val="438A3D2D"/>
    <w:rsid w:val="45FE4AC1"/>
    <w:rsid w:val="48562C5E"/>
    <w:rsid w:val="506D5662"/>
    <w:rsid w:val="54D84233"/>
    <w:rsid w:val="580A5D84"/>
    <w:rsid w:val="645202F5"/>
    <w:rsid w:val="66452016"/>
    <w:rsid w:val="6C861A01"/>
    <w:rsid w:val="6E117A0C"/>
    <w:rsid w:val="73CA6569"/>
    <w:rsid w:val="7D0E6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2019-05-27T08:12:00Z</dcterms:created>
  <dc:creator>最佳屁小孩</dc:creator>
  <cp:lastModifiedBy>最佳屁小孩</cp:lastModifiedBy>
  <dcterms:modified xsi:type="dcterms:W3CDTF">2019-06-03T02:10:08Z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